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Прокуроров обязали сосредоточить надзорную деятельность на соблюдении прав граждан, уделяя особое внимание социально уязвимым группам населения, а также участникам СВО и членам их семей</w:t>
      </w:r>
      <w:r>
        <w:rPr>
          <w:rFonts w:ascii="Times New Roman" w:hAnsi="Times New Roman"/>
          <w:sz w:val="28"/>
        </w:rPr>
        <w:br/>
      </w:r>
    </w:p>
    <w:p w14:paraId="04000000">
      <w:pPr>
        <w:spacing w:after="120" w:before="120"/>
        <w:ind w:firstLine="0" w:left="120" w:right="1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Приказ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Генпрокуратуры России от 30.10.2025 N 747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указание Генерального прокурора Российской Федерации от 11.03.2022 N 140/20 "Об усилении прокурорского надзора за исполнением законов, соблюдением прав граждан в связи с принимаемыми в Российской Федерации мерами по поддержке экономики и социальной сферы, а также в связи с введением отдельных ограничений на осуществление финансово-хозяйственной и иной деятельности"</w:t>
      </w:r>
      <w:r>
        <w:rPr>
          <w:rFonts w:ascii="Times New Roman" w:hAnsi="Times New Roman"/>
          <w:sz w:val="28"/>
        </w:rPr>
        <w:t> 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указание Генерального прокурора РФ от 11.03.2022 N 140/20 внесены изменения, согласно которым прокуроров также обязали:</w:t>
      </w:r>
    </w:p>
    <w:p w14:paraId="06000000">
      <w:pPr>
        <w:numPr>
          <w:numId w:val="1"/>
        </w:numPr>
        <w:spacing w:after="0" w:before="168"/>
        <w:ind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акцентировать внимание на проверке соблюдения иностранными компаниями и российскими организациями с зарубежным участием законодательства в области контрсанкционных ограничений, в частности при совершении внешнеторговых сделок и валютных операций;</w:t>
      </w:r>
    </w:p>
    <w:p w14:paraId="07000000">
      <w:pPr>
        <w:numPr>
          <w:numId w:val="2"/>
        </w:numPr>
        <w:spacing w:after="0" w:before="168"/>
        <w:ind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целях предотвращения причинения ущерба российской экономике и оттока капитала за рубеж обеспечить постоянный мониторинг рассмотрения споров с иностранным участием, в том числе по заявлениям о признании и приведении в исполнение постановлений судов недружественных юрисдикций, а также по требованиям российских компаний, связанным с обходом контрсанкционных ограничений;</w:t>
      </w:r>
    </w:p>
    <w:p w14:paraId="08000000">
      <w:pPr>
        <w:numPr>
          <w:numId w:val="3"/>
        </w:numPr>
        <w:spacing w:after="0" w:before="168"/>
        <w:ind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обеспечить соблюдение законности при расходовании бюджетных средств, выделенных на реализацию государственных программ, федеральных проектов, мероприятий кластерной инвестиционной платформы по производству приоритетной продукции, проектов структурной адаптации экономики РФ, проведение фундаментальных, прикладных и поисковых исследований, выполнение научно-исследовательских и опытно-конструкторских работ и пр.</w:t>
      </w:r>
    </w:p>
    <w:p w14:paraId="09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 </w:t>
      </w: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2025-11-11T14:34:26Z</dcterms:modified>
</cp:coreProperties>
</file>